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244061"/>
          <w:sz w:val="44"/>
          <w:szCs w:val="44"/>
        </w:rPr>
      </w:pPr>
      <w:r w:rsidDel="00000000" w:rsidR="00000000" w:rsidRPr="00000000">
        <w:rPr>
          <w:color w:val="244061"/>
          <w:sz w:val="44"/>
          <w:szCs w:val="44"/>
          <w:rtl w:val="0"/>
        </w:rPr>
        <w:t xml:space="preserve">PROGRAMME FORMATION</w:t>
      </w:r>
    </w:p>
    <w:p w:rsidR="00000000" w:rsidDel="00000000" w:rsidP="00000000" w:rsidRDefault="00000000" w:rsidRPr="00000000" w14:paraId="00000004">
      <w:pPr>
        <w:jc w:val="center"/>
        <w:rPr>
          <w:i w:val="1"/>
          <w:color w:val="24406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2440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-</w:t>
      </w:r>
    </w:p>
    <w:p w:rsidR="00000000" w:rsidDel="00000000" w:rsidP="00000000" w:rsidRDefault="00000000" w:rsidRPr="00000000" w14:paraId="00000008">
      <w:pPr>
        <w:jc w:val="center"/>
        <w:rPr>
          <w:b w:val="1"/>
          <w:i w:val="1"/>
          <w:color w:val="366091"/>
        </w:rPr>
      </w:pPr>
      <w:r w:rsidDel="00000000" w:rsidR="00000000" w:rsidRPr="00000000">
        <w:rPr>
          <w:color w:val="366091"/>
          <w:rtl w:val="0"/>
        </w:rPr>
        <w:t xml:space="preserve">Réaliser une rétreinte sur Grosse bosse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-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840. </w:t>
      </w:r>
      <w:r w:rsidDel="00000000" w:rsidR="00000000" w:rsidRPr="00000000">
        <w:rPr>
          <w:color w:val="366091"/>
          <w:rtl w:val="0"/>
        </w:rPr>
        <w:t xml:space="preserve">€ TTC</w:t>
      </w:r>
      <w:r w:rsidDel="00000000" w:rsidR="00000000" w:rsidRPr="00000000">
        <w:rPr>
          <w:b w:val="1"/>
          <w:color w:val="2f5496"/>
          <w:rtl w:val="0"/>
        </w:rPr>
        <w:t xml:space="preserve"> </w:t>
      </w:r>
      <w:r w:rsidDel="00000000" w:rsidR="00000000" w:rsidRPr="00000000">
        <w:rPr>
          <w:b w:val="1"/>
          <w:color w:val="36609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- </w:t>
      </w:r>
    </w:p>
    <w:p w:rsidR="00000000" w:rsidDel="00000000" w:rsidP="00000000" w:rsidRDefault="00000000" w:rsidRPr="00000000" w14:paraId="0000000C">
      <w:pPr>
        <w:jc w:val="center"/>
        <w:rPr>
          <w:i w:val="1"/>
          <w:color w:val="366091"/>
        </w:rPr>
      </w:pPr>
      <w:r w:rsidDel="00000000" w:rsidR="00000000" w:rsidRPr="00000000">
        <w:rPr>
          <w:i w:val="1"/>
          <w:color w:val="366091"/>
          <w:rtl w:val="0"/>
        </w:rPr>
        <w:t xml:space="preserve">1 jour</w:t>
      </w:r>
    </w:p>
    <w:p w:rsidR="00000000" w:rsidDel="00000000" w:rsidP="00000000" w:rsidRDefault="00000000" w:rsidRPr="00000000" w14:paraId="0000000D">
      <w:pPr>
        <w:jc w:val="center"/>
        <w:rPr>
          <w:b w:val="1"/>
          <w:i w:val="1"/>
          <w:color w:val="366091"/>
        </w:rPr>
      </w:pPr>
      <w:r w:rsidDel="00000000" w:rsidR="00000000" w:rsidRPr="00000000">
        <w:rPr>
          <w:b w:val="1"/>
          <w:i w:val="1"/>
          <w:color w:val="366091"/>
          <w:rtl w:val="0"/>
        </w:rPr>
        <w:t xml:space="preserve">-</w:t>
      </w:r>
    </w:p>
    <w:p w:rsidR="00000000" w:rsidDel="00000000" w:rsidP="00000000" w:rsidRDefault="00000000" w:rsidRPr="00000000" w14:paraId="0000000E">
      <w:pPr>
        <w:jc w:val="center"/>
        <w:rPr>
          <w:i w:val="1"/>
          <w:color w:val="366091"/>
        </w:rPr>
      </w:pPr>
      <w:r w:rsidDel="00000000" w:rsidR="00000000" w:rsidRPr="00000000">
        <w:rPr>
          <w:color w:val="366091"/>
          <w:rtl w:val="0"/>
        </w:rPr>
        <w:t xml:space="preserve">Référencement</w:t>
      </w:r>
      <w:r w:rsidDel="00000000" w:rsidR="00000000" w:rsidRPr="00000000">
        <w:rPr>
          <w:b w:val="1"/>
          <w:i w:val="1"/>
          <w:color w:val="366091"/>
          <w:rtl w:val="0"/>
        </w:rPr>
        <w:t xml:space="preserve"> PREMIUM</w:t>
      </w:r>
      <w:r w:rsidDel="00000000" w:rsidR="00000000" w:rsidRPr="00000000">
        <w:rPr>
          <w:i w:val="1"/>
          <w:color w:val="366091"/>
          <w:rtl w:val="0"/>
        </w:rPr>
        <w:t xml:space="preserve"> </w:t>
      </w:r>
      <w:r w:rsidDel="00000000" w:rsidR="00000000" w:rsidRPr="00000000">
        <w:rPr>
          <w:color w:val="366091"/>
          <w:rtl w:val="0"/>
        </w:rPr>
        <w:t xml:space="preserve">sur l’annuaire</w:t>
      </w:r>
      <w:r w:rsidDel="00000000" w:rsidR="00000000" w:rsidRPr="00000000">
        <w:rPr>
          <w:i w:val="1"/>
          <w:color w:val="366091"/>
          <w:rtl w:val="0"/>
        </w:rPr>
        <w:t xml:space="preserve"> </w:t>
      </w:r>
      <w:r w:rsidDel="00000000" w:rsidR="00000000" w:rsidRPr="00000000">
        <w:rPr>
          <w:b w:val="1"/>
          <w:i w:val="1"/>
          <w:color w:val="366091"/>
          <w:u w:val="single"/>
          <w:rtl w:val="0"/>
        </w:rPr>
        <w:t xml:space="preserve">PdrXjob.com</w:t>
      </w:r>
      <w:r w:rsidDel="00000000" w:rsidR="00000000" w:rsidRPr="00000000">
        <w:rPr>
          <w:i w:val="1"/>
          <w:color w:val="366091"/>
          <w:rtl w:val="0"/>
        </w:rPr>
        <w:t xml:space="preserve"> des débosselurs</w:t>
      </w:r>
    </w:p>
    <w:p w:rsidR="00000000" w:rsidDel="00000000" w:rsidP="00000000" w:rsidRDefault="00000000" w:rsidRPr="00000000" w14:paraId="0000000F">
      <w:pPr>
        <w:jc w:val="center"/>
        <w:rPr>
          <w:i w:val="1"/>
          <w:color w:val="366091"/>
        </w:rPr>
      </w:pPr>
      <w:r w:rsidDel="00000000" w:rsidR="00000000" w:rsidRPr="00000000">
        <w:rPr>
          <w:b w:val="1"/>
          <w:i w:val="1"/>
          <w:color w:val="366091"/>
          <w:rtl w:val="0"/>
        </w:rPr>
        <w:t xml:space="preserve">Achat d’outil Pro Dsp</w:t>
      </w:r>
      <w:r w:rsidDel="00000000" w:rsidR="00000000" w:rsidRPr="00000000">
        <w:rPr>
          <w:i w:val="1"/>
          <w:color w:val="366091"/>
          <w:rtl w:val="0"/>
        </w:rPr>
        <w:t xml:space="preserve"> direct fabricant DCT sur</w:t>
      </w:r>
      <w:r w:rsidDel="00000000" w:rsidR="00000000" w:rsidRPr="00000000">
        <w:rPr>
          <w:b w:val="1"/>
          <w:i w:val="1"/>
          <w:color w:val="366091"/>
          <w:rtl w:val="0"/>
        </w:rPr>
        <w:t xml:space="preserve"> </w:t>
      </w:r>
      <w:r w:rsidDel="00000000" w:rsidR="00000000" w:rsidRPr="00000000">
        <w:rPr>
          <w:b w:val="1"/>
          <w:i w:val="1"/>
          <w:color w:val="366091"/>
          <w:u w:val="single"/>
          <w:rtl w:val="0"/>
        </w:rPr>
        <w:t xml:space="preserve">PdrX-Tools.com</w:t>
      </w:r>
      <w:r w:rsidDel="00000000" w:rsidR="00000000" w:rsidRPr="00000000">
        <w:rPr>
          <w:i w:val="1"/>
          <w:color w:val="36609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center"/>
        <w:rPr>
          <w:i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PRÉREQUIS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Technicien carrossier et débosseleur</w:t>
      </w:r>
    </w:p>
    <w:p w:rsidR="00000000" w:rsidDel="00000000" w:rsidP="00000000" w:rsidRDefault="00000000" w:rsidRPr="00000000" w14:paraId="00000031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ACCESSIBILITÉ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Si vous êtes en situation de handicap et que vous avez des besoins spécifiques, nous vous invitons à nous contacter afin que nous puissions étudier ensemble l’adaptation de la formation.</w:t>
      </w:r>
    </w:p>
    <w:p w:rsidR="00000000" w:rsidDel="00000000" w:rsidP="00000000" w:rsidRDefault="00000000" w:rsidRPr="00000000" w14:paraId="00000034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OBJECTIFS DE LA FORMATION 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Réaliser tous types d’interventions de rétreinte sur des éléments acier selon </w:t>
      </w:r>
      <w:r w:rsidDel="00000000" w:rsidR="00000000" w:rsidRPr="00000000">
        <w:rPr>
          <w:color w:val="366091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es techniques du redressage.</w:t>
      </w:r>
    </w:p>
    <w:p w:rsidR="00000000" w:rsidDel="00000000" w:rsidP="00000000" w:rsidRDefault="00000000" w:rsidRPr="00000000" w14:paraId="00000037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POINT FORT :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Technique indispensable pour élargir son activité professionnelle Dsp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Acquisition Attestation </w:t>
      </w:r>
    </w:p>
    <w:p w:rsidR="00000000" w:rsidDel="00000000" w:rsidP="00000000" w:rsidRDefault="00000000" w:rsidRPr="00000000" w14:paraId="0000003B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DURÉE : 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1 jour - 7 heures </w:t>
      </w:r>
    </w:p>
    <w:p w:rsidR="00000000" w:rsidDel="00000000" w:rsidP="00000000" w:rsidRDefault="00000000" w:rsidRPr="00000000" w14:paraId="0000003E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PUBLIC CONCERNÉ</w:t>
      </w:r>
      <w:r w:rsidDel="00000000" w:rsidR="00000000" w:rsidRPr="00000000">
        <w:rPr>
          <w:color w:val="366091"/>
          <w:rtl w:val="0"/>
        </w:rPr>
        <w:t xml:space="preserve"> : </w:t>
      </w:r>
    </w:p>
    <w:p w:rsidR="00000000" w:rsidDel="00000000" w:rsidP="00000000" w:rsidRDefault="00000000" w:rsidRPr="00000000" w14:paraId="00000040">
      <w:pPr>
        <w:numPr>
          <w:ilvl w:val="0"/>
          <w:numId w:val="19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Accessible à tous.</w:t>
      </w:r>
    </w:p>
    <w:p w:rsidR="00000000" w:rsidDel="00000000" w:rsidP="00000000" w:rsidRDefault="00000000" w:rsidRPr="00000000" w14:paraId="00000041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MODALITES ET DELAI D'ACCÈS</w:t>
      </w:r>
      <w:r w:rsidDel="00000000" w:rsidR="00000000" w:rsidRPr="00000000">
        <w:rPr>
          <w:color w:val="366091"/>
          <w:rtl w:val="0"/>
        </w:rPr>
        <w:t xml:space="preserve"> :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Formation réalisée en présentiel.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Du lundi au vendredi, de 9h à 13h et de 14h à 17h.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Nous nous engageons à débuter la formation dans un délai de 1 mois à partir du premier contact.</w:t>
      </w:r>
    </w:p>
    <w:p w:rsidR="00000000" w:rsidDel="00000000" w:rsidP="00000000" w:rsidRDefault="00000000" w:rsidRPr="00000000" w14:paraId="00000046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TARIFS</w:t>
      </w:r>
      <w:r w:rsidDel="00000000" w:rsidR="00000000" w:rsidRPr="00000000">
        <w:rPr>
          <w:color w:val="366091"/>
          <w:rtl w:val="0"/>
        </w:rPr>
        <w:t xml:space="preserve"> : 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840 euros TTC </w:t>
      </w:r>
    </w:p>
    <w:p w:rsidR="00000000" w:rsidDel="00000000" w:rsidP="00000000" w:rsidRDefault="00000000" w:rsidRPr="00000000" w14:paraId="00000049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MODALITÉ DE RÈGLEMENTS 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Période 1 : 840 euros TTC </w:t>
      </w:r>
    </w:p>
    <w:p w:rsidR="00000000" w:rsidDel="00000000" w:rsidP="00000000" w:rsidRDefault="00000000" w:rsidRPr="00000000" w14:paraId="0000004C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LIEU</w:t>
      </w:r>
      <w:r w:rsidDel="00000000" w:rsidR="00000000" w:rsidRPr="00000000">
        <w:rPr>
          <w:color w:val="366091"/>
          <w:rtl w:val="0"/>
        </w:rPr>
        <w:t xml:space="preserve"> :</w:t>
      </w:r>
    </w:p>
    <w:p w:rsidR="00000000" w:rsidDel="00000000" w:rsidP="00000000" w:rsidRDefault="00000000" w:rsidRPr="00000000" w14:paraId="0000004E">
      <w:pPr>
        <w:numPr>
          <w:ilvl w:val="0"/>
          <w:numId w:val="18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 PdrX-Center - Lot i : 50, avenue de Fontfrège 13420 Gèmenos</w:t>
      </w:r>
    </w:p>
    <w:p w:rsidR="00000000" w:rsidDel="00000000" w:rsidP="00000000" w:rsidRDefault="00000000" w:rsidRPr="00000000" w14:paraId="0000004F">
      <w:pPr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PARTICIPANTS</w:t>
      </w:r>
      <w:r w:rsidDel="00000000" w:rsidR="00000000" w:rsidRPr="00000000">
        <w:rPr>
          <w:color w:val="366091"/>
          <w:rtl w:val="0"/>
        </w:rPr>
        <w:t xml:space="preserve"> : 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2 stagiaires maximum.</w:t>
      </w:r>
    </w:p>
    <w:p w:rsidR="00000000" w:rsidDel="00000000" w:rsidP="00000000" w:rsidRDefault="00000000" w:rsidRPr="00000000" w14:paraId="00000052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MOYENS PEDAGOGIQUES ET TECHNIQUES D’ENCADREMENT DES FORMATIONS :</w:t>
      </w:r>
    </w:p>
    <w:p w:rsidR="00000000" w:rsidDel="00000000" w:rsidP="00000000" w:rsidRDefault="00000000" w:rsidRPr="00000000" w14:paraId="0000005D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Modalités pédagogiques </w:t>
      </w:r>
      <w:r w:rsidDel="00000000" w:rsidR="00000000" w:rsidRPr="00000000">
        <w:rPr>
          <w:color w:val="366091"/>
          <w:rtl w:val="0"/>
        </w:rPr>
        <w:t xml:space="preserve">: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Evaluation des besoins et du profil du participant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Apport théorique et séquences pédagogiques regroupées en différentes périodes,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Mises en situation</w:t>
      </w:r>
    </w:p>
    <w:p w:rsidR="00000000" w:rsidDel="00000000" w:rsidP="00000000" w:rsidRDefault="00000000" w:rsidRPr="00000000" w14:paraId="00000061">
      <w:pPr>
        <w:numPr>
          <w:ilvl w:val="0"/>
          <w:numId w:val="1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Kit de formation mis à disposition des stagiaires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Tests de contrôle de connaissances et validation des acquis à chaque étape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Séquences pédagogiques regroupées en différentes périodes</w:t>
      </w:r>
    </w:p>
    <w:p w:rsidR="00000000" w:rsidDel="00000000" w:rsidP="00000000" w:rsidRDefault="00000000" w:rsidRPr="00000000" w14:paraId="00000064">
      <w:pPr>
        <w:numPr>
          <w:ilvl w:val="0"/>
          <w:numId w:val="1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Une plaquette d’animation sera remise aux candidats à l’issue de la formation</w:t>
      </w:r>
    </w:p>
    <w:p w:rsidR="00000000" w:rsidDel="00000000" w:rsidP="00000000" w:rsidRDefault="00000000" w:rsidRPr="00000000" w14:paraId="00000065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Référent pédagogique et formateur</w:t>
      </w:r>
      <w:r w:rsidDel="00000000" w:rsidR="00000000" w:rsidRPr="00000000">
        <w:rPr>
          <w:color w:val="366091"/>
          <w:rtl w:val="0"/>
        </w:rPr>
        <w:t xml:space="preserve"> :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Chaque formation est sous la responsabilité du directeur pédagogique de l’organisme de formation ; le bon déroulement est assuré par le formateur désigné par l’organisme de formation.</w:t>
      </w:r>
    </w:p>
    <w:p w:rsidR="00000000" w:rsidDel="00000000" w:rsidP="00000000" w:rsidRDefault="00000000" w:rsidRPr="00000000" w14:paraId="00000068">
      <w:pPr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MODALITES D’EVALUATION </w:t>
      </w:r>
      <w:r w:rsidDel="00000000" w:rsidR="00000000" w:rsidRPr="00000000">
        <w:rPr>
          <w:color w:val="366091"/>
          <w:rtl w:val="0"/>
        </w:rPr>
        <w:t xml:space="preserve">: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Une évaluation est réalisée à l’entrée de la formation, qui permettra d’évaluer votre niveau initial.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Une évaluation est réalisée à la fin de la formation, afin de vérifier vos connaissances et valider vos acquis.</w:t>
      </w:r>
    </w:p>
    <w:p w:rsidR="00000000" w:rsidDel="00000000" w:rsidP="00000000" w:rsidRDefault="00000000" w:rsidRPr="00000000" w14:paraId="0000006C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SUIVI DE L'EXÉCUTION</w:t>
      </w:r>
      <w:r w:rsidDel="00000000" w:rsidR="00000000" w:rsidRPr="00000000">
        <w:rPr>
          <w:color w:val="366091"/>
          <w:rtl w:val="0"/>
        </w:rPr>
        <w:t xml:space="preserve"> :</w:t>
      </w:r>
    </w:p>
    <w:p w:rsidR="00000000" w:rsidDel="00000000" w:rsidP="00000000" w:rsidRDefault="00000000" w:rsidRPr="00000000" w14:paraId="0000006E">
      <w:pPr>
        <w:numPr>
          <w:ilvl w:val="0"/>
          <w:numId w:val="17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Attestation de fin de formation mentionnant les objectifs, la nature et la durée de l’action et les résultats de l’évaluation des acquis de la formation.</w:t>
      </w:r>
    </w:p>
    <w:p w:rsidR="00000000" w:rsidDel="00000000" w:rsidP="00000000" w:rsidRDefault="00000000" w:rsidRPr="00000000" w14:paraId="0000006F">
      <w:pPr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APPRECIATION DES RESULTATS</w:t>
      </w:r>
      <w:r w:rsidDel="00000000" w:rsidR="00000000" w:rsidRPr="00000000">
        <w:rPr>
          <w:color w:val="366091"/>
          <w:rtl w:val="0"/>
        </w:rPr>
        <w:t xml:space="preserve"> :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Recueil individuel des attentes du stagiaire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Remise d’une </w:t>
      </w:r>
      <w:r w:rsidDel="00000000" w:rsidR="00000000" w:rsidRPr="00000000">
        <w:rPr>
          <w:b w:val="1"/>
          <w:color w:val="366091"/>
          <w:rtl w:val="0"/>
        </w:rPr>
        <w:t xml:space="preserve">ATTESTATION</w:t>
      </w:r>
      <w:r w:rsidDel="00000000" w:rsidR="00000000" w:rsidRPr="00000000">
        <w:rPr>
          <w:color w:val="366091"/>
          <w:rtl w:val="0"/>
        </w:rPr>
        <w:t xml:space="preserve"> de fin de formation 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Questionnaire d’évaluation de la satisfaction en fin de formation</w:t>
      </w:r>
    </w:p>
    <w:p w:rsidR="00000000" w:rsidDel="00000000" w:rsidP="00000000" w:rsidRDefault="00000000" w:rsidRPr="00000000" w14:paraId="00000074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PÉRIODE :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Période par jour</w:t>
      </w:r>
    </w:p>
    <w:p w:rsidR="00000000" w:rsidDel="00000000" w:rsidP="00000000" w:rsidRDefault="00000000" w:rsidRPr="00000000" w14:paraId="00000077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Période 1 </w:t>
      </w:r>
      <w:r w:rsidDel="00000000" w:rsidR="00000000" w:rsidRPr="00000000">
        <w:rPr>
          <w:color w:val="366091"/>
          <w:rtl w:val="0"/>
        </w:rPr>
        <w:t xml:space="preserve">- 7 heures </w:t>
      </w:r>
    </w:p>
    <w:p w:rsidR="00000000" w:rsidDel="00000000" w:rsidP="00000000" w:rsidRDefault="00000000" w:rsidRPr="00000000" w14:paraId="00000088">
      <w:pPr>
        <w:jc w:val="center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i w:val="1"/>
          <w:color w:val="366091"/>
          <w:u w:val="single"/>
        </w:rPr>
      </w:pPr>
      <w:r w:rsidDel="00000000" w:rsidR="00000000" w:rsidRPr="00000000">
        <w:rPr>
          <w:i w:val="1"/>
          <w:color w:val="366091"/>
          <w:u w:val="single"/>
          <w:rtl w:val="0"/>
        </w:rPr>
        <w:t xml:space="preserve">Objectif pédagogique :</w:t>
      </w:r>
    </w:p>
    <w:p w:rsidR="00000000" w:rsidDel="00000000" w:rsidP="00000000" w:rsidRDefault="00000000" w:rsidRPr="00000000" w14:paraId="0000008A">
      <w:pPr>
        <w:rPr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C-II-4 : Mettre en œuvre les techniques de débosselage sans peinture adaptées aux types de déformations et à leur accès en utilisant les outils adaptés, afin de redonner à la tôle sa forme d’origine, dans le respect des procédures qualité et de mise en sécurité en vigueur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color w:val="366091"/>
        </w:rPr>
      </w:pPr>
      <w:r w:rsidDel="00000000" w:rsidR="00000000" w:rsidRPr="00000000">
        <w:rPr>
          <w:b w:val="1"/>
          <w:color w:val="366091"/>
          <w:u w:val="single"/>
          <w:rtl w:val="0"/>
        </w:rPr>
        <w:t xml:space="preserve">Connaissances</w:t>
      </w:r>
      <w:r w:rsidDel="00000000" w:rsidR="00000000" w:rsidRPr="00000000">
        <w:rPr>
          <w:color w:val="366091"/>
          <w:rtl w:val="0"/>
        </w:rPr>
        <w:t xml:space="preserve"> : 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Connaître les différentes techniques de débosselage sans peinture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Connaître les différents outils permettant de redonner à la tôle sa forme d’origine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Connaître les procédures qualité en vigueur dans l’entreprise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Connaître les règles de sécurité liées à la mise en œuvre des techniques de débosselage sans peinture</w:t>
      </w:r>
    </w:p>
    <w:p w:rsidR="00000000" w:rsidDel="00000000" w:rsidP="00000000" w:rsidRDefault="00000000" w:rsidRPr="00000000" w14:paraId="00000090">
      <w:pPr>
        <w:rPr>
          <w:color w:val="366091"/>
        </w:rPr>
      </w:pPr>
      <w:r w:rsidDel="00000000" w:rsidR="00000000" w:rsidRPr="00000000">
        <w:rPr>
          <w:b w:val="1"/>
          <w:color w:val="366091"/>
          <w:u w:val="single"/>
          <w:rtl w:val="0"/>
        </w:rPr>
        <w:t xml:space="preserve">Savoir-faire</w:t>
      </w:r>
      <w:r w:rsidDel="00000000" w:rsidR="00000000" w:rsidRPr="00000000">
        <w:rPr>
          <w:color w:val="366091"/>
          <w:rtl w:val="0"/>
        </w:rPr>
        <w:t xml:space="preserve"> :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Savoir mettre en œuvre les techniques de débosselage avec un outil à induction ou </w:t>
      </w:r>
    </w:p>
    <w:p w:rsidR="00000000" w:rsidDel="00000000" w:rsidP="00000000" w:rsidRDefault="00000000" w:rsidRPr="00000000" w14:paraId="00000092">
      <w:pPr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            ou machine à retreinte grosse bosse.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Savoir résorber les positifs à l’aide d’un marteau et d’une chasse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  <w:rPr>
          <w:color w:val="366091"/>
        </w:rPr>
      </w:pPr>
      <w:r w:rsidDel="00000000" w:rsidR="00000000" w:rsidRPr="00000000">
        <w:rPr>
          <w:color w:val="366091"/>
          <w:rtl w:val="0"/>
        </w:rPr>
        <w:t xml:space="preserve">Savoir appliquer les règles de sécurité liées à la mise en œuvre des techniques de débosselage sans peinture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left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color w:val="36609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>
          <w:color w:val="366091"/>
          <w:u w:val="single"/>
        </w:rPr>
      </w:pPr>
      <w:r w:rsidDel="00000000" w:rsidR="00000000" w:rsidRPr="00000000">
        <w:rPr>
          <w:i w:val="1"/>
          <w:color w:val="366091"/>
          <w:rtl w:val="0"/>
        </w:rPr>
        <w:t xml:space="preserve">Recevez votre</w:t>
      </w:r>
      <w:r w:rsidDel="00000000" w:rsidR="00000000" w:rsidRPr="00000000">
        <w:rPr>
          <w:b w:val="1"/>
          <w:i w:val="1"/>
          <w:color w:val="366091"/>
          <w:rtl w:val="0"/>
        </w:rPr>
        <w:t xml:space="preserve"> ATTESTATION</w:t>
      </w:r>
      <w:r w:rsidDel="00000000" w:rsidR="00000000" w:rsidRPr="00000000">
        <w:rPr>
          <w:i w:val="1"/>
          <w:color w:val="366091"/>
          <w:rtl w:val="0"/>
        </w:rPr>
        <w:t xml:space="preserve"> de la maîtrise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center"/>
        <w:rPr>
          <w:b w:val="1"/>
          <w:color w:val="366091"/>
        </w:rPr>
      </w:pPr>
      <w:r w:rsidDel="00000000" w:rsidR="00000000" w:rsidRPr="00000000">
        <w:rPr>
          <w:b w:val="1"/>
          <w:color w:val="366091"/>
          <w:rtl w:val="0"/>
        </w:rPr>
        <w:t xml:space="preserve">01/2025</w:t>
      </w:r>
    </w:p>
    <w:p w:rsidR="00000000" w:rsidDel="00000000" w:rsidP="00000000" w:rsidRDefault="00000000" w:rsidRPr="00000000" w14:paraId="000000A0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center"/>
        <w:rPr>
          <w:rFonts w:ascii="Cambria" w:cs="Cambria" w:eastAsia="Cambria" w:hAnsi="Cambria"/>
          <w:color w:val="366091"/>
        </w:rPr>
      </w:pPr>
      <w:r w:rsidDel="00000000" w:rsidR="00000000" w:rsidRPr="00000000">
        <w:rPr>
          <w:rFonts w:ascii="Cambria" w:cs="Cambria" w:eastAsia="Cambria" w:hAnsi="Cambria"/>
          <w:color w:val="366091"/>
          <w:sz w:val="28"/>
          <w:szCs w:val="28"/>
          <w:rtl w:val="0"/>
        </w:rPr>
        <w:t xml:space="preserve">PdrX-Center</w:t>
      </w:r>
      <w:r w:rsidDel="00000000" w:rsidR="00000000" w:rsidRPr="00000000">
        <w:rPr>
          <w:rFonts w:ascii="Cambria" w:cs="Cambria" w:eastAsia="Cambria" w:hAnsi="Cambria"/>
          <w:color w:val="366091"/>
          <w:rtl w:val="0"/>
        </w:rPr>
        <w:t xml:space="preserve"> by Deboss’Autos</w:t>
      </w:r>
    </w:p>
    <w:p w:rsidR="00000000" w:rsidDel="00000000" w:rsidP="00000000" w:rsidRDefault="00000000" w:rsidRPr="00000000" w14:paraId="000000A5">
      <w:pPr>
        <w:spacing w:line="240" w:lineRule="auto"/>
        <w:jc w:val="center"/>
        <w:rPr>
          <w:rFonts w:ascii="Cambria" w:cs="Cambria" w:eastAsia="Cambria" w:hAnsi="Cambria"/>
          <w:color w:val="366091"/>
        </w:rPr>
      </w:pPr>
      <w:hyperlink r:id="rId7">
        <w:r w:rsidDel="00000000" w:rsidR="00000000" w:rsidRPr="00000000">
          <w:rPr>
            <w:rFonts w:ascii="Cambria" w:cs="Cambria" w:eastAsia="Cambria" w:hAnsi="Cambria"/>
            <w:color w:val="0000ff"/>
            <w:rtl w:val="0"/>
          </w:rPr>
          <w:t xml:space="preserve">contact@pdrx-center.com –</w:t>
        </w:r>
      </w:hyperlink>
      <w:r w:rsidDel="00000000" w:rsidR="00000000" w:rsidRPr="00000000">
        <w:rPr>
          <w:rFonts w:ascii="Cambria" w:cs="Cambria" w:eastAsia="Cambria" w:hAnsi="Cambria"/>
          <w:color w:val="366091"/>
          <w:rtl w:val="0"/>
        </w:rPr>
        <w:t xml:space="preserve"> Standard : 09 81 26 44 82- Port : 06 19 80 01 49 -</w:t>
      </w:r>
    </w:p>
    <w:p w:rsidR="00000000" w:rsidDel="00000000" w:rsidP="00000000" w:rsidRDefault="00000000" w:rsidRPr="00000000" w14:paraId="000000A6">
      <w:pPr>
        <w:spacing w:line="240" w:lineRule="auto"/>
        <w:jc w:val="center"/>
        <w:rPr>
          <w:rFonts w:ascii="Cambria" w:cs="Cambria" w:eastAsia="Cambria" w:hAnsi="Cambria"/>
          <w:color w:val="366091"/>
        </w:rPr>
      </w:pPr>
      <w:hyperlink r:id="rId8">
        <w:r w:rsidDel="00000000" w:rsidR="00000000" w:rsidRPr="00000000">
          <w:rPr>
            <w:rFonts w:ascii="Cambria" w:cs="Cambria" w:eastAsia="Cambria" w:hAnsi="Cambria"/>
            <w:color w:val="0000ff"/>
            <w:u w:val="single"/>
            <w:rtl w:val="0"/>
          </w:rPr>
          <w:t xml:space="preserve">www.pdrx-center.com</w:t>
        </w:r>
      </w:hyperlink>
      <w:r w:rsidDel="00000000" w:rsidR="00000000" w:rsidRPr="00000000">
        <w:rPr>
          <w:rFonts w:ascii="Cambria" w:cs="Cambria" w:eastAsia="Cambria" w:hAnsi="Cambria"/>
          <w:color w:val="366091"/>
          <w:rtl w:val="0"/>
        </w:rPr>
        <w:t xml:space="preserve">  </w:t>
      </w:r>
    </w:p>
    <w:p w:rsidR="00000000" w:rsidDel="00000000" w:rsidP="00000000" w:rsidRDefault="00000000" w:rsidRPr="00000000" w14:paraId="000000A7">
      <w:pPr>
        <w:spacing w:line="240" w:lineRule="auto"/>
        <w:jc w:val="center"/>
        <w:rPr>
          <w:rFonts w:ascii="Cambria" w:cs="Cambria" w:eastAsia="Cambria" w:hAnsi="Cambria"/>
          <w:color w:val="366091"/>
        </w:rPr>
      </w:pPr>
      <w:r w:rsidDel="00000000" w:rsidR="00000000" w:rsidRPr="00000000">
        <w:rPr>
          <w:rFonts w:ascii="Cambria" w:cs="Cambria" w:eastAsia="Cambria" w:hAnsi="Cambria"/>
          <w:color w:val="366091"/>
          <w:rtl w:val="0"/>
        </w:rPr>
        <w:t xml:space="preserve">Adresse : 50, Avenue de Fontfrège 13420 Gémenos</w:t>
      </w:r>
    </w:p>
    <w:p w:rsidR="00000000" w:rsidDel="00000000" w:rsidP="00000000" w:rsidRDefault="00000000" w:rsidRPr="00000000" w14:paraId="000000A8">
      <w:pPr>
        <w:spacing w:line="240" w:lineRule="auto"/>
        <w:jc w:val="center"/>
        <w:rPr>
          <w:rFonts w:ascii="Cambria" w:cs="Cambria" w:eastAsia="Cambria" w:hAnsi="Cambria"/>
          <w:color w:val="366091"/>
        </w:rPr>
      </w:pPr>
      <w:r w:rsidDel="00000000" w:rsidR="00000000" w:rsidRPr="00000000">
        <w:rPr>
          <w:rFonts w:ascii="Cambria" w:cs="Cambria" w:eastAsia="Cambria" w:hAnsi="Cambria"/>
          <w:color w:val="366091"/>
          <w:rtl w:val="0"/>
        </w:rPr>
        <w:t xml:space="preserve">APE : 4520A - Siret: 50756074600053 - </w:t>
      </w:r>
      <w:r w:rsidDel="00000000" w:rsidR="00000000" w:rsidRPr="00000000">
        <w:rPr>
          <w:rFonts w:ascii="Cambria" w:cs="Cambria" w:eastAsia="Cambria" w:hAnsi="Cambria"/>
          <w:b w:val="1"/>
          <w:color w:val="366091"/>
          <w:rtl w:val="0"/>
        </w:rPr>
        <w:t xml:space="preserve">NDA: 93131989413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right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right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right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right"/>
        <w:rPr>
          <w:color w:val="36609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right"/>
        <w:rPr>
          <w:color w:val="36609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700" cy="567817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700" cy="5678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160020</wp:posOffset>
          </wp:positionV>
          <wp:extent cx="1079500" cy="232662"/>
          <wp:effectExtent b="0" l="0" r="0" t="0"/>
          <wp:wrapTopAndBottom distB="0" distT="0"/>
          <wp:docPr descr="Une image contenant texte, signe&#10;&#10;Description générée automatiquement" id="8" name="image2.png"/>
          <a:graphic>
            <a:graphicData uri="http://schemas.openxmlformats.org/drawingml/2006/picture">
              <pic:pic>
                <pic:nvPicPr>
                  <pic:cNvPr descr="Une image contenant texte, signe&#10;&#10;Description générée automatiquement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9500" cy="2326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158750</wp:posOffset>
          </wp:positionV>
          <wp:extent cx="1091565" cy="234950"/>
          <wp:effectExtent b="0" l="0" r="0" t="0"/>
          <wp:wrapTopAndBottom distB="0" distT="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1565" cy="234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700" cy="567817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700" cy="5678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700" cy="567817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27700" cy="5678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F80EB5"/>
    <w:pPr>
      <w:tabs>
        <w:tab w:val="center" w:pos="4536"/>
        <w:tab w:val="right" w:pos="9072"/>
      </w:tabs>
      <w:spacing w:line="240" w:lineRule="auto"/>
    </w:p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leNormal1" w:customStyle="1">
    <w:name w:val="Table Normal1"/>
    <w:rsid w:val="002F182A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En-tteCar" w:customStyle="1">
    <w:name w:val="En-tête Car"/>
    <w:basedOn w:val="Policepardfaut"/>
    <w:link w:val="En-tte"/>
    <w:uiPriority w:val="99"/>
    <w:rsid w:val="00F80EB5"/>
  </w:style>
  <w:style w:type="paragraph" w:styleId="Pieddepage">
    <w:name w:val="footer"/>
    <w:basedOn w:val="Normal"/>
    <w:link w:val="PieddepageCar"/>
    <w:uiPriority w:val="99"/>
    <w:unhideWhenUsed w:val="1"/>
    <w:rsid w:val="00F80EB5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80EB5"/>
  </w:style>
  <w:style w:type="paragraph" w:styleId="Paragraphedeliste">
    <w:name w:val="List Paragraph"/>
    <w:basedOn w:val="Normal"/>
    <w:uiPriority w:val="34"/>
    <w:qFormat w:val="1"/>
    <w:rsid w:val="000E1ED9"/>
    <w:pPr>
      <w:ind w:left="720"/>
      <w:contextualSpacing w:val="1"/>
    </w:pPr>
  </w:style>
  <w:style w:type="paragraph" w:styleId="Rvision">
    <w:name w:val="Revision"/>
    <w:hidden w:val="1"/>
    <w:uiPriority w:val="99"/>
    <w:semiHidden w:val="1"/>
    <w:rsid w:val="009C5E4D"/>
    <w:pPr>
      <w:spacing w:line="240" w:lineRule="auto"/>
    </w:pPr>
  </w:style>
  <w:style w:type="character" w:styleId="Lienhypertexte">
    <w:name w:val="Hyperlink"/>
    <w:basedOn w:val="Policepardfaut"/>
    <w:uiPriority w:val="99"/>
    <w:unhideWhenUsed w:val="1"/>
    <w:rsid w:val="00C90F8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http://www.pdrx-center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OTpdBXTk7bXoSif+/LyrlkXVtA==">CgMxLjA4AHIhMWViRzV1Tmh5Mm9wMHZYcG9oMzFwbGVfYm5FeDc4WVFy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2023-12-04T14:39:00Z</dcterms:created>
  <dc:creator>jerome Dormes</dc:creator>
</cp:coreProperties>
</file>